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A3" w:rsidRPr="002C35B2" w:rsidRDefault="00F832A3" w:rsidP="002C35B2">
      <w:pPr>
        <w:jc w:val="center"/>
        <w:rPr>
          <w:b/>
        </w:rPr>
      </w:pPr>
      <w:r w:rsidRPr="002C35B2">
        <w:rPr>
          <w:b/>
        </w:rPr>
        <w:t>WYMAGANIA REDAKCYJNE</w:t>
      </w:r>
    </w:p>
    <w:p w:rsidR="006D47FE" w:rsidRDefault="006D47FE" w:rsidP="002C35B2">
      <w:pPr>
        <w:jc w:val="center"/>
        <w:rPr>
          <w:b/>
        </w:rPr>
      </w:pPr>
    </w:p>
    <w:p w:rsidR="00F832A3" w:rsidRPr="000119FF" w:rsidRDefault="00F832A3" w:rsidP="004D6931">
      <w:pPr>
        <w:jc w:val="both"/>
        <w:rPr>
          <w:b/>
        </w:rPr>
      </w:pPr>
      <w:r w:rsidRPr="000119FF">
        <w:rPr>
          <w:b/>
        </w:rPr>
        <w:t>Wymagania ogólne</w:t>
      </w:r>
    </w:p>
    <w:p w:rsidR="00F832A3" w:rsidRDefault="005247E6" w:rsidP="00044B18">
      <w:pPr>
        <w:numPr>
          <w:ilvl w:val="0"/>
          <w:numId w:val="1"/>
        </w:numPr>
        <w:jc w:val="both"/>
      </w:pPr>
      <w:r>
        <w:t>Artykuł</w:t>
      </w:r>
      <w:r w:rsidR="00F832A3">
        <w:t xml:space="preserve"> powinien zawierać: imię i nazwisko autora/autorów z oznaczeniem </w:t>
      </w:r>
      <w:r w:rsidR="004D6931">
        <w:t>afiliacji</w:t>
      </w:r>
      <w:r w:rsidR="00F832A3">
        <w:t xml:space="preserve">, </w:t>
      </w:r>
      <w:r w:rsidR="00413534">
        <w:t xml:space="preserve">ORCID, </w:t>
      </w:r>
      <w:r w:rsidR="00F832A3">
        <w:t xml:space="preserve">tytuł, część zasadniczą, </w:t>
      </w:r>
      <w:r w:rsidR="00A72394">
        <w:t>wykaz literatury</w:t>
      </w:r>
      <w:r w:rsidR="00F832A3">
        <w:t>.</w:t>
      </w:r>
      <w:r w:rsidR="00FC6DCC">
        <w:t xml:space="preserve"> </w:t>
      </w:r>
      <w:r w:rsidR="00593BDE">
        <w:t xml:space="preserve">Artykuł </w:t>
      </w:r>
      <w:r w:rsidR="00593BDE" w:rsidRPr="00593BDE">
        <w:t xml:space="preserve">powinien być </w:t>
      </w:r>
      <w:r w:rsidR="00593BDE" w:rsidRPr="00413534">
        <w:rPr>
          <w:u w:val="single"/>
        </w:rPr>
        <w:t>ustrukturyzowany</w:t>
      </w:r>
      <w:r w:rsidR="00593BDE">
        <w:rPr>
          <w:u w:val="single"/>
        </w:rPr>
        <w:t>,</w:t>
      </w:r>
      <w:r w:rsidR="00593BDE" w:rsidRPr="00593BDE">
        <w:t xml:space="preserve"> tj. podzielony na części poprzedzone wstępem (w nim </w:t>
      </w:r>
      <w:r w:rsidR="00593BDE">
        <w:t>cel, problemy badawcze</w:t>
      </w:r>
      <w:r w:rsidR="00593BDE" w:rsidRPr="00593BDE">
        <w:t>)</w:t>
      </w:r>
      <w:r w:rsidR="005726CB">
        <w:t>,</w:t>
      </w:r>
      <w:r w:rsidR="00593BDE" w:rsidRPr="00593BDE">
        <w:t xml:space="preserve"> zakończony podsumowaniem oraz wykorzystaną literaturą</w:t>
      </w:r>
      <w:r w:rsidR="00593BDE">
        <w:t>.</w:t>
      </w:r>
    </w:p>
    <w:p w:rsidR="008F2D29" w:rsidRDefault="008F2D29" w:rsidP="00044B18">
      <w:pPr>
        <w:numPr>
          <w:ilvl w:val="0"/>
          <w:numId w:val="1"/>
        </w:numPr>
        <w:jc w:val="both"/>
      </w:pPr>
      <w:r w:rsidRPr="008F2D29">
        <w:t xml:space="preserve">Objętość tekstu </w:t>
      </w:r>
      <w:r w:rsidR="00F90382">
        <w:t xml:space="preserve">nie </w:t>
      </w:r>
      <w:r w:rsidRPr="008F2D29">
        <w:t xml:space="preserve">powinna </w:t>
      </w:r>
      <w:r w:rsidR="00413534">
        <w:t>przekraczać</w:t>
      </w:r>
      <w:r w:rsidR="00D81115">
        <w:t xml:space="preserve"> </w:t>
      </w:r>
      <w:r w:rsidR="008C7F44">
        <w:rPr>
          <w:b/>
        </w:rPr>
        <w:t>4</w:t>
      </w:r>
      <w:r w:rsidR="002E3324" w:rsidRPr="004436B4">
        <w:rPr>
          <w:b/>
        </w:rPr>
        <w:t>0</w:t>
      </w:r>
      <w:r w:rsidRPr="004436B4">
        <w:rPr>
          <w:b/>
        </w:rPr>
        <w:t xml:space="preserve"> tys. znaków</w:t>
      </w:r>
      <w:r w:rsidRPr="008F2D29">
        <w:t xml:space="preserve"> ze spacjami</w:t>
      </w:r>
      <w:r w:rsidR="002E3324">
        <w:t xml:space="preserve"> i przypisami</w:t>
      </w:r>
      <w:r>
        <w:t>.</w:t>
      </w:r>
    </w:p>
    <w:p w:rsidR="00413534" w:rsidRDefault="00413534" w:rsidP="004D6931">
      <w:pPr>
        <w:jc w:val="both"/>
        <w:rPr>
          <w:b/>
        </w:rPr>
      </w:pPr>
    </w:p>
    <w:p w:rsidR="00F832A3" w:rsidRPr="000119FF" w:rsidRDefault="00F832A3" w:rsidP="004D6931">
      <w:pPr>
        <w:jc w:val="both"/>
        <w:rPr>
          <w:b/>
        </w:rPr>
      </w:pPr>
      <w:r w:rsidRPr="000119FF">
        <w:rPr>
          <w:b/>
        </w:rPr>
        <w:t>Parametry tekstu</w:t>
      </w:r>
    </w:p>
    <w:p w:rsidR="00044B18" w:rsidRDefault="00F832A3" w:rsidP="004D6931">
      <w:pPr>
        <w:numPr>
          <w:ilvl w:val="0"/>
          <w:numId w:val="1"/>
        </w:numPr>
        <w:jc w:val="both"/>
      </w:pPr>
      <w:r>
        <w:t>akapit – wcięcie pierwszego w</w:t>
      </w:r>
      <w:r w:rsidR="00413534">
        <w:t>iersza akapitu: 1,</w:t>
      </w:r>
      <w:r>
        <w:t>25,</w:t>
      </w:r>
    </w:p>
    <w:p w:rsidR="00044B18" w:rsidRDefault="00F832A3" w:rsidP="004D6931">
      <w:pPr>
        <w:numPr>
          <w:ilvl w:val="0"/>
          <w:numId w:val="1"/>
        </w:numPr>
        <w:jc w:val="both"/>
      </w:pPr>
      <w:r>
        <w:t xml:space="preserve">rodzaj czcionki – Times New Roman, 12 </w:t>
      </w:r>
      <w:proofErr w:type="spellStart"/>
      <w:r>
        <w:t>pkt</w:t>
      </w:r>
      <w:proofErr w:type="spellEnd"/>
      <w:r>
        <w:t>,</w:t>
      </w:r>
    </w:p>
    <w:p w:rsidR="00044B18" w:rsidRDefault="00F832A3" w:rsidP="004D6931">
      <w:pPr>
        <w:numPr>
          <w:ilvl w:val="0"/>
          <w:numId w:val="1"/>
        </w:numPr>
        <w:jc w:val="both"/>
      </w:pPr>
      <w:r>
        <w:t>odstępy między wierszami – 1,5 wiersza,</w:t>
      </w:r>
    </w:p>
    <w:p w:rsidR="00044B18" w:rsidRDefault="00F832A3" w:rsidP="004D6931">
      <w:pPr>
        <w:numPr>
          <w:ilvl w:val="0"/>
          <w:numId w:val="1"/>
        </w:numPr>
        <w:jc w:val="both"/>
      </w:pPr>
      <w:r>
        <w:t>tabele – tytuł</w:t>
      </w:r>
      <w:r w:rsidR="00044B18">
        <w:t xml:space="preserve"> </w:t>
      </w:r>
      <w:r w:rsidR="00044B18" w:rsidRPr="00044B18">
        <w:rPr>
          <w:u w:val="single"/>
        </w:rPr>
        <w:t>nad</w:t>
      </w:r>
      <w:r w:rsidR="00044B18">
        <w:t xml:space="preserve"> tabelą</w:t>
      </w:r>
      <w:r>
        <w:t>, nagłówki wycentrowane,</w:t>
      </w:r>
      <w:r w:rsidR="00044B18">
        <w:t xml:space="preserve"> źródło pochodzenia </w:t>
      </w:r>
      <w:r w:rsidR="00044B18" w:rsidRPr="00044B18">
        <w:rPr>
          <w:u w:val="single"/>
        </w:rPr>
        <w:t>pod</w:t>
      </w:r>
      <w:r w:rsidR="00044B18">
        <w:t xml:space="preserve"> tabelą</w:t>
      </w:r>
      <w:r>
        <w:t>,</w:t>
      </w:r>
    </w:p>
    <w:p w:rsidR="00F832A3" w:rsidRDefault="00F832A3" w:rsidP="004D6931">
      <w:pPr>
        <w:numPr>
          <w:ilvl w:val="0"/>
          <w:numId w:val="1"/>
        </w:numPr>
        <w:jc w:val="both"/>
      </w:pPr>
      <w:r>
        <w:t xml:space="preserve">wykresy i inne obiekty graficzne – </w:t>
      </w:r>
      <w:r w:rsidR="00044B18">
        <w:t>tytuł i</w:t>
      </w:r>
      <w:r>
        <w:t xml:space="preserve"> źródło pochodzenia </w:t>
      </w:r>
      <w:r w:rsidRPr="00044B18">
        <w:rPr>
          <w:u w:val="single"/>
        </w:rPr>
        <w:t>pod</w:t>
      </w:r>
      <w:r>
        <w:t xml:space="preserve"> </w:t>
      </w:r>
      <w:r w:rsidR="00EC2EF0">
        <w:t>wykresem</w:t>
      </w:r>
      <w:r w:rsidR="00B318C3">
        <w:t>.</w:t>
      </w:r>
    </w:p>
    <w:p w:rsidR="00413534" w:rsidRDefault="00413534" w:rsidP="004D6931">
      <w:pPr>
        <w:jc w:val="both"/>
      </w:pPr>
    </w:p>
    <w:p w:rsidR="00B51218" w:rsidRDefault="00413534" w:rsidP="004D6931">
      <w:pPr>
        <w:jc w:val="both"/>
      </w:pPr>
      <w:r>
        <w:t xml:space="preserve">Prosimy </w:t>
      </w:r>
      <w:r w:rsidRPr="00413534">
        <w:rPr>
          <w:u w:val="single"/>
        </w:rPr>
        <w:t>nie stosować twardych spacji</w:t>
      </w:r>
      <w:r>
        <w:t>.</w:t>
      </w:r>
    </w:p>
    <w:p w:rsidR="00413534" w:rsidRDefault="00413534" w:rsidP="004D6931">
      <w:pPr>
        <w:jc w:val="both"/>
      </w:pPr>
    </w:p>
    <w:p w:rsidR="000119FF" w:rsidRPr="000119FF" w:rsidRDefault="000119FF" w:rsidP="000119FF">
      <w:pPr>
        <w:jc w:val="both"/>
        <w:rPr>
          <w:b/>
        </w:rPr>
      </w:pPr>
      <w:r w:rsidRPr="000119FF">
        <w:rPr>
          <w:b/>
        </w:rPr>
        <w:t>P</w:t>
      </w:r>
      <w:r w:rsidR="00F832A3" w:rsidRPr="000119FF">
        <w:rPr>
          <w:b/>
        </w:rPr>
        <w:t>rzypisy</w:t>
      </w:r>
    </w:p>
    <w:p w:rsidR="000119FF" w:rsidRDefault="00F832A3" w:rsidP="004D6931">
      <w:pPr>
        <w:numPr>
          <w:ilvl w:val="0"/>
          <w:numId w:val="3"/>
        </w:numPr>
        <w:jc w:val="both"/>
      </w:pPr>
      <w:r>
        <w:t xml:space="preserve">dolne, </w:t>
      </w:r>
      <w:r w:rsidR="00A770D2">
        <w:t xml:space="preserve">czcionka Times New Roman, </w:t>
      </w:r>
      <w:r>
        <w:t xml:space="preserve">10 </w:t>
      </w:r>
      <w:proofErr w:type="spellStart"/>
      <w:r>
        <w:t>pkt</w:t>
      </w:r>
      <w:proofErr w:type="spellEnd"/>
      <w:r>
        <w:t>; skrót</w:t>
      </w:r>
      <w:r w:rsidR="006E4286">
        <w:t>y</w:t>
      </w:r>
      <w:r>
        <w:t xml:space="preserve"> łaciński</w:t>
      </w:r>
      <w:r w:rsidR="006E4286">
        <w:t>e</w:t>
      </w:r>
      <w:r>
        <w:t xml:space="preserve"> [</w:t>
      </w:r>
      <w:proofErr w:type="spellStart"/>
      <w:r>
        <w:t>ibidem</w:t>
      </w:r>
      <w:proofErr w:type="spellEnd"/>
      <w:r>
        <w:t xml:space="preserve">, </w:t>
      </w:r>
      <w:proofErr w:type="spellStart"/>
      <w:r>
        <w:t>op.cit</w:t>
      </w:r>
      <w:proofErr w:type="spellEnd"/>
      <w:r>
        <w:t>.]</w:t>
      </w:r>
    </w:p>
    <w:p w:rsidR="00951DB3" w:rsidRDefault="00F832A3" w:rsidP="004D6931">
      <w:pPr>
        <w:numPr>
          <w:ilvl w:val="0"/>
          <w:numId w:val="3"/>
        </w:numPr>
        <w:jc w:val="both"/>
      </w:pPr>
      <w:r>
        <w:t xml:space="preserve">przywołanie pozycji książkowej: </w:t>
      </w:r>
      <w:r w:rsidR="00564D65" w:rsidRPr="00564D65">
        <w:t xml:space="preserve">P. </w:t>
      </w:r>
      <w:proofErr w:type="spellStart"/>
      <w:r w:rsidR="00564D65" w:rsidRPr="00564D65">
        <w:t>Winczorek</w:t>
      </w:r>
      <w:proofErr w:type="spellEnd"/>
      <w:r w:rsidR="00564D65" w:rsidRPr="00564D65">
        <w:t xml:space="preserve">, </w:t>
      </w:r>
      <w:r w:rsidR="00564D65" w:rsidRPr="00C54DDE">
        <w:rPr>
          <w:i/>
        </w:rPr>
        <w:t>Komentarz do Konstytucji Rzecz</w:t>
      </w:r>
      <w:r w:rsidR="00C361F8">
        <w:rPr>
          <w:i/>
        </w:rPr>
        <w:t>y</w:t>
      </w:r>
      <w:r w:rsidR="00564D65" w:rsidRPr="00C54DDE">
        <w:rPr>
          <w:i/>
        </w:rPr>
        <w:t>pospolitej Polskiej z dnia 2 kwietnia 1997 r.</w:t>
      </w:r>
      <w:r w:rsidR="00564D65" w:rsidRPr="00564D65">
        <w:t>, Warszawa 2000, s. 86.</w:t>
      </w:r>
    </w:p>
    <w:p w:rsidR="00951DB3" w:rsidRDefault="00F832A3" w:rsidP="004D6931">
      <w:pPr>
        <w:numPr>
          <w:ilvl w:val="0"/>
          <w:numId w:val="3"/>
        </w:numPr>
        <w:jc w:val="both"/>
      </w:pPr>
      <w:r>
        <w:t>przywołanie artykułów w książkach lub materiałach konferencyjnych:</w:t>
      </w:r>
      <w:r w:rsidR="00951DB3">
        <w:t xml:space="preserve"> </w:t>
      </w:r>
      <w:r w:rsidR="00080A57" w:rsidRPr="00080A57">
        <w:t xml:space="preserve">A. </w:t>
      </w:r>
      <w:proofErr w:type="spellStart"/>
      <w:r w:rsidR="00080A57" w:rsidRPr="00080A57">
        <w:t>Błaś</w:t>
      </w:r>
      <w:proofErr w:type="spellEnd"/>
      <w:r w:rsidR="00080A57" w:rsidRPr="00080A57">
        <w:t xml:space="preserve">, </w:t>
      </w:r>
      <w:r w:rsidR="00080A57" w:rsidRPr="00C54DDE">
        <w:rPr>
          <w:i/>
        </w:rPr>
        <w:t>Granice prywatyzacji zadań publicznych w państwie prawa</w:t>
      </w:r>
      <w:r w:rsidR="00080A57" w:rsidRPr="00080A57">
        <w:t xml:space="preserve">, [w:] S. Michałowski (red.), </w:t>
      </w:r>
      <w:r w:rsidR="00080A57" w:rsidRPr="00C54DDE">
        <w:rPr>
          <w:i/>
        </w:rPr>
        <w:t>Samorząd terytorialny w III Rzeczypospolitej</w:t>
      </w:r>
      <w:r w:rsidR="00080A57" w:rsidRPr="00080A57">
        <w:t>, Lublin 2002, s. 303.</w:t>
      </w:r>
    </w:p>
    <w:p w:rsidR="004947A1" w:rsidRDefault="00F832A3" w:rsidP="004D6931">
      <w:pPr>
        <w:numPr>
          <w:ilvl w:val="0"/>
          <w:numId w:val="3"/>
        </w:numPr>
        <w:jc w:val="both"/>
      </w:pPr>
      <w:r>
        <w:t>przywołanie artykułów z czasopism:</w:t>
      </w:r>
      <w:r w:rsidR="00951DB3">
        <w:t xml:space="preserve"> </w:t>
      </w:r>
      <w:r w:rsidR="00564D65" w:rsidRPr="00BA3C75">
        <w:t xml:space="preserve">H. </w:t>
      </w:r>
      <w:proofErr w:type="spellStart"/>
      <w:r w:rsidR="00564D65" w:rsidRPr="00BA3C75">
        <w:t>Zięba-Załucka</w:t>
      </w:r>
      <w:proofErr w:type="spellEnd"/>
      <w:r w:rsidR="00564D65" w:rsidRPr="00BA3C75">
        <w:t xml:space="preserve">, </w:t>
      </w:r>
      <w:r w:rsidR="00564D65" w:rsidRPr="00C54DDE">
        <w:rPr>
          <w:i/>
          <w:iCs/>
        </w:rPr>
        <w:t>Prawo petycji w Rzeczypospolitej Polskiej</w:t>
      </w:r>
      <w:r w:rsidR="00564D65" w:rsidRPr="00564D65">
        <w:t>,</w:t>
      </w:r>
      <w:r w:rsidR="00564D65" w:rsidRPr="00BA3C75">
        <w:t xml:space="preserve"> „Przegląd Prawa Konstytucyjnego” 2010, nr 4,</w:t>
      </w:r>
      <w:r w:rsidR="00564D65">
        <w:t xml:space="preserve"> s. 18.</w:t>
      </w:r>
    </w:p>
    <w:p w:rsidR="008C7C7B" w:rsidRDefault="00F832A3" w:rsidP="008C7C7B">
      <w:pPr>
        <w:numPr>
          <w:ilvl w:val="0"/>
          <w:numId w:val="3"/>
        </w:numPr>
        <w:jc w:val="both"/>
      </w:pPr>
      <w:r>
        <w:t>przywołanie zasobów internetowych:</w:t>
      </w:r>
      <w:r w:rsidR="004947A1">
        <w:t xml:space="preserve"> </w:t>
      </w:r>
      <w:r w:rsidR="001F6369" w:rsidRPr="001F6369">
        <w:rPr>
          <w:i/>
        </w:rPr>
        <w:t>tytuł</w:t>
      </w:r>
      <w:r>
        <w:t>, www.mpips.gov.pl [</w:t>
      </w:r>
      <w:r w:rsidR="004947A1">
        <w:t>pobrano dn.</w:t>
      </w:r>
      <w:r>
        <w:t>: 9.08.</w:t>
      </w:r>
      <w:r w:rsidR="00413534">
        <w:t>2024</w:t>
      </w:r>
      <w:r>
        <w:t>].</w:t>
      </w:r>
    </w:p>
    <w:p w:rsidR="008C7C7B" w:rsidRDefault="008C7C7B" w:rsidP="008C7C7B">
      <w:pPr>
        <w:numPr>
          <w:ilvl w:val="0"/>
          <w:numId w:val="3"/>
        </w:numPr>
        <w:jc w:val="both"/>
      </w:pPr>
      <w:r>
        <w:t xml:space="preserve">zapis orzecznictwa: </w:t>
      </w:r>
      <w:r w:rsidR="00413534" w:rsidRPr="00413534">
        <w:t>Wyrok NSA z 8.01.2024 r., II OKW 1/24, LEX nr 3671458</w:t>
      </w:r>
      <w:r w:rsidR="00413534">
        <w:t xml:space="preserve"> (albo nr </w:t>
      </w:r>
      <w:proofErr w:type="spellStart"/>
      <w:r w:rsidR="00413534">
        <w:t>Legalis</w:t>
      </w:r>
      <w:proofErr w:type="spellEnd"/>
      <w:r w:rsidR="00413534">
        <w:t>)</w:t>
      </w:r>
      <w:r w:rsidR="00413534" w:rsidRPr="00413534">
        <w:t>.</w:t>
      </w:r>
      <w:r w:rsidR="00413534">
        <w:t xml:space="preserve"> </w:t>
      </w:r>
      <w:r w:rsidRPr="001B31E7">
        <w:t xml:space="preserve">Wyrok </w:t>
      </w:r>
      <w:r>
        <w:t xml:space="preserve">TK </w:t>
      </w:r>
      <w:r w:rsidRPr="001B31E7">
        <w:t xml:space="preserve">z </w:t>
      </w:r>
      <w:r w:rsidR="00413534">
        <w:t>23.04.</w:t>
      </w:r>
      <w:r w:rsidRPr="001B31E7">
        <w:t>2008</w:t>
      </w:r>
      <w:r>
        <w:t xml:space="preserve"> r.,</w:t>
      </w:r>
      <w:r w:rsidRPr="001B31E7">
        <w:t xml:space="preserve"> SK 16/07, OTK Z.U. 2008</w:t>
      </w:r>
      <w:r>
        <w:t>, nr</w:t>
      </w:r>
      <w:r w:rsidRPr="001B31E7">
        <w:t xml:space="preserve"> 3</w:t>
      </w:r>
      <w:r>
        <w:t>, poz.</w:t>
      </w:r>
      <w:r w:rsidRPr="001B31E7">
        <w:t xml:space="preserve"> 45</w:t>
      </w:r>
      <w:r>
        <w:t>.</w:t>
      </w:r>
      <w:r w:rsidR="00413534" w:rsidRPr="00413534">
        <w:t xml:space="preserve"> </w:t>
      </w:r>
    </w:p>
    <w:p w:rsidR="009E30BC" w:rsidRDefault="008C7C7B" w:rsidP="004D6931">
      <w:pPr>
        <w:numPr>
          <w:ilvl w:val="0"/>
          <w:numId w:val="3"/>
        </w:numPr>
        <w:jc w:val="both"/>
      </w:pPr>
      <w:r>
        <w:t xml:space="preserve">zapis aktów prawnych: </w:t>
      </w:r>
      <w:r w:rsidRPr="009E300C">
        <w:t xml:space="preserve">Ustawa z </w:t>
      </w:r>
      <w:r w:rsidR="00413534">
        <w:t>14.06.</w:t>
      </w:r>
      <w:r w:rsidRPr="009E300C">
        <w:t>19</w:t>
      </w:r>
      <w:r w:rsidR="005247E6">
        <w:t>60</w:t>
      </w:r>
      <w:r w:rsidRPr="009E300C">
        <w:t xml:space="preserve"> r. </w:t>
      </w:r>
      <w:r w:rsidR="005247E6">
        <w:t>Kodeks postępowania administracyjnego</w:t>
      </w:r>
      <w:r>
        <w:t xml:space="preserve">, </w:t>
      </w:r>
      <w:proofErr w:type="spellStart"/>
      <w:r w:rsidR="00413534">
        <w:t>t.j</w:t>
      </w:r>
      <w:proofErr w:type="spellEnd"/>
      <w:r w:rsidR="00413534">
        <w:t>.</w:t>
      </w:r>
      <w:r w:rsidR="00C54DDE">
        <w:t xml:space="preserve"> </w:t>
      </w:r>
      <w:proofErr w:type="spellStart"/>
      <w:r>
        <w:t>Dz.</w:t>
      </w:r>
      <w:r w:rsidRPr="009E300C">
        <w:t>U</w:t>
      </w:r>
      <w:proofErr w:type="spellEnd"/>
      <w:r w:rsidRPr="009E300C">
        <w:t xml:space="preserve">. </w:t>
      </w:r>
      <w:r w:rsidR="00413534">
        <w:t>2024,</w:t>
      </w:r>
      <w:r w:rsidRPr="009E300C">
        <w:t xml:space="preserve"> </w:t>
      </w:r>
      <w:r w:rsidR="005247E6">
        <w:t xml:space="preserve">poz. </w:t>
      </w:r>
      <w:r w:rsidR="00413534">
        <w:t>572.</w:t>
      </w:r>
    </w:p>
    <w:p w:rsidR="00CD2267" w:rsidRPr="00CD2267" w:rsidRDefault="00CD2267" w:rsidP="00CD2267">
      <w:pPr>
        <w:numPr>
          <w:ilvl w:val="0"/>
          <w:numId w:val="3"/>
        </w:numPr>
        <w:jc w:val="both"/>
      </w:pPr>
      <w:r w:rsidRPr="00CD2267">
        <w:t>Akty publikowane przed 1.01.2012 r. powoływane są zgodnie z dotychczasowymi zas</w:t>
      </w:r>
      <w:r>
        <w:t>adami (czyli z podaniem numeru), np.</w:t>
      </w:r>
      <w:r w:rsidR="009205E2">
        <w:t xml:space="preserve"> </w:t>
      </w:r>
      <w:proofErr w:type="spellStart"/>
      <w:r w:rsidR="009205E2">
        <w:t>Dz.</w:t>
      </w:r>
      <w:r w:rsidRPr="00CD2267">
        <w:t>U</w:t>
      </w:r>
      <w:proofErr w:type="spellEnd"/>
      <w:r w:rsidRPr="00CD2267">
        <w:t>. z 2008 r. Nr 15, poz. 155</w:t>
      </w:r>
      <w:r>
        <w:t>.</w:t>
      </w:r>
    </w:p>
    <w:p w:rsidR="00C70504" w:rsidRDefault="00C70504" w:rsidP="00961594">
      <w:pPr>
        <w:ind w:left="61"/>
        <w:jc w:val="both"/>
      </w:pPr>
    </w:p>
    <w:p w:rsidR="00961594" w:rsidRDefault="00961594" w:rsidP="00961594">
      <w:pPr>
        <w:ind w:left="61"/>
        <w:jc w:val="both"/>
      </w:pPr>
      <w:r>
        <w:t>S</w:t>
      </w:r>
      <w:r w:rsidR="00F832A3">
        <w:t>kracanie tytułów opracowań zwartych</w:t>
      </w:r>
      <w:r>
        <w:t>:</w:t>
      </w:r>
    </w:p>
    <w:p w:rsidR="00961594" w:rsidRDefault="00961594" w:rsidP="00961594">
      <w:pPr>
        <w:numPr>
          <w:ilvl w:val="0"/>
          <w:numId w:val="4"/>
        </w:numPr>
        <w:jc w:val="both"/>
      </w:pPr>
      <w:r>
        <w:t>gdy korzystamy tylko z jednej publikacji danego autora:</w:t>
      </w:r>
      <w:r w:rsidRPr="00BA3C75">
        <w:t xml:space="preserve"> </w:t>
      </w:r>
      <w:r w:rsidR="009E30BC" w:rsidRPr="00BA3C75">
        <w:t xml:space="preserve">H. </w:t>
      </w:r>
      <w:proofErr w:type="spellStart"/>
      <w:r w:rsidR="009E30BC" w:rsidRPr="00BA3C75">
        <w:t>Zięba-Załucka</w:t>
      </w:r>
      <w:proofErr w:type="spellEnd"/>
      <w:r w:rsidR="009E30BC" w:rsidRPr="00BA3C75">
        <w:t>,</w:t>
      </w:r>
      <w:r w:rsidR="00F832A3">
        <w:t xml:space="preserve"> </w:t>
      </w:r>
      <w:proofErr w:type="spellStart"/>
      <w:r w:rsidR="00F832A3">
        <w:t>op.cit</w:t>
      </w:r>
      <w:proofErr w:type="spellEnd"/>
      <w:r w:rsidR="00F832A3">
        <w:t xml:space="preserve">., s. </w:t>
      </w:r>
      <w:r w:rsidR="009E30BC">
        <w:t xml:space="preserve">20. </w:t>
      </w:r>
    </w:p>
    <w:p w:rsidR="00F832A3" w:rsidRDefault="00961594" w:rsidP="00961594">
      <w:pPr>
        <w:numPr>
          <w:ilvl w:val="0"/>
          <w:numId w:val="4"/>
        </w:numPr>
        <w:jc w:val="both"/>
      </w:pPr>
      <w:r>
        <w:t>gdy korzystamy z więcej niż jednej pozycji jednego autora:</w:t>
      </w:r>
      <w:r w:rsidRPr="00BA3C75">
        <w:t xml:space="preserve"> </w:t>
      </w:r>
      <w:r w:rsidR="009E30BC" w:rsidRPr="00BA3C75">
        <w:t xml:space="preserve">H. </w:t>
      </w:r>
      <w:proofErr w:type="spellStart"/>
      <w:r w:rsidR="009E30BC" w:rsidRPr="00BA3C75">
        <w:t>Zięba-Załucka</w:t>
      </w:r>
      <w:proofErr w:type="spellEnd"/>
      <w:r w:rsidR="009E30BC" w:rsidRPr="00BA3C75">
        <w:t xml:space="preserve">, </w:t>
      </w:r>
      <w:r w:rsidR="00F832A3" w:rsidRPr="00C54DDE">
        <w:rPr>
          <w:i/>
        </w:rPr>
        <w:t>P</w:t>
      </w:r>
      <w:r w:rsidR="009E30BC" w:rsidRPr="00C54DDE">
        <w:rPr>
          <w:i/>
        </w:rPr>
        <w:t>rawo petycji</w:t>
      </w:r>
      <w:r w:rsidR="009E30BC">
        <w:t>…, s. 21.</w:t>
      </w:r>
    </w:p>
    <w:p w:rsidR="00B51218" w:rsidRDefault="00B51218" w:rsidP="004D6931">
      <w:pPr>
        <w:jc w:val="both"/>
        <w:rPr>
          <w:b/>
        </w:rPr>
      </w:pPr>
    </w:p>
    <w:p w:rsidR="002C35B2" w:rsidRPr="002C35B2" w:rsidRDefault="00A72394" w:rsidP="004D6931">
      <w:pPr>
        <w:jc w:val="both"/>
        <w:rPr>
          <w:b/>
        </w:rPr>
      </w:pPr>
      <w:r>
        <w:rPr>
          <w:b/>
        </w:rPr>
        <w:t>Wykaz literatury</w:t>
      </w:r>
    </w:p>
    <w:p w:rsidR="00F832A3" w:rsidRDefault="00080C7B" w:rsidP="004D6931">
      <w:pPr>
        <w:jc w:val="both"/>
      </w:pPr>
      <w:r>
        <w:t>N</w:t>
      </w:r>
      <w:r w:rsidR="00F832A3">
        <w:t>a końcu artykułu, ułożon</w:t>
      </w:r>
      <w:r w:rsidR="00A72394">
        <w:t>y</w:t>
      </w:r>
      <w:r w:rsidR="00F832A3">
        <w:t xml:space="preserve"> alfabetycznie:</w:t>
      </w:r>
    </w:p>
    <w:p w:rsidR="00E738E3" w:rsidRDefault="00E738E3" w:rsidP="004D6931">
      <w:pPr>
        <w:jc w:val="both"/>
      </w:pPr>
      <w:proofErr w:type="spellStart"/>
      <w:r w:rsidRPr="00564D65">
        <w:t>Winczorek</w:t>
      </w:r>
      <w:proofErr w:type="spellEnd"/>
      <w:r w:rsidRPr="00E738E3">
        <w:t xml:space="preserve"> </w:t>
      </w:r>
      <w:r w:rsidRPr="00564D65">
        <w:t xml:space="preserve">P., </w:t>
      </w:r>
      <w:r w:rsidRPr="00C54DDE">
        <w:rPr>
          <w:i/>
        </w:rPr>
        <w:t>Komentarz do Konstytucji Rzeczpospolitej Polskiej z dnia 2 kwietnia 1997 r.</w:t>
      </w:r>
      <w:r w:rsidRPr="00564D65">
        <w:t>, Warszawa 2000</w:t>
      </w:r>
      <w:r>
        <w:t>.</w:t>
      </w:r>
    </w:p>
    <w:p w:rsidR="00E738E3" w:rsidRDefault="00E738E3" w:rsidP="004D6931">
      <w:pPr>
        <w:jc w:val="both"/>
      </w:pPr>
      <w:proofErr w:type="spellStart"/>
      <w:r w:rsidRPr="00E738E3">
        <w:t>Zięba-Załucka</w:t>
      </w:r>
      <w:proofErr w:type="spellEnd"/>
      <w:r w:rsidRPr="00E738E3">
        <w:t xml:space="preserve"> H., </w:t>
      </w:r>
      <w:r w:rsidRPr="00C54DDE">
        <w:rPr>
          <w:i/>
        </w:rPr>
        <w:t>Prawo petycji w Rzeczypospolitej Polskiej</w:t>
      </w:r>
      <w:r w:rsidRPr="00E738E3">
        <w:t>, „Przegląd Prawa Konstytucyjnego” 2010, nr 4</w:t>
      </w:r>
      <w:r>
        <w:t>.</w:t>
      </w:r>
    </w:p>
    <w:sectPr w:rsidR="00E738E3" w:rsidSect="009B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6C9"/>
    <w:multiLevelType w:val="hybridMultilevel"/>
    <w:tmpl w:val="D8C488F6"/>
    <w:lvl w:ilvl="0" w:tplc="7360C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D0865"/>
    <w:multiLevelType w:val="hybridMultilevel"/>
    <w:tmpl w:val="76787842"/>
    <w:lvl w:ilvl="0" w:tplc="7360C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F33FD0"/>
    <w:multiLevelType w:val="hybridMultilevel"/>
    <w:tmpl w:val="B9A46CE8"/>
    <w:lvl w:ilvl="0" w:tplc="7360CC7E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3">
    <w:nsid w:val="7C077ED4"/>
    <w:multiLevelType w:val="hybridMultilevel"/>
    <w:tmpl w:val="DB3E63EA"/>
    <w:lvl w:ilvl="0" w:tplc="7360CC7E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/>
  <w:stylePaneFormatFilter w:val="3F01"/>
  <w:defaultTabStop w:val="708"/>
  <w:hyphenationZone w:val="425"/>
  <w:characterSpacingControl w:val="doNotCompress"/>
  <w:compat/>
  <w:rsids>
    <w:rsidRoot w:val="00F832A3"/>
    <w:rsid w:val="000119FF"/>
    <w:rsid w:val="00044B18"/>
    <w:rsid w:val="00080A57"/>
    <w:rsid w:val="00080C7B"/>
    <w:rsid w:val="000854A8"/>
    <w:rsid w:val="00137233"/>
    <w:rsid w:val="00153BA7"/>
    <w:rsid w:val="001827C1"/>
    <w:rsid w:val="001F6369"/>
    <w:rsid w:val="002055C9"/>
    <w:rsid w:val="002763A2"/>
    <w:rsid w:val="002C35B2"/>
    <w:rsid w:val="002D076F"/>
    <w:rsid w:val="002E3324"/>
    <w:rsid w:val="003150D0"/>
    <w:rsid w:val="00322438"/>
    <w:rsid w:val="00355D0F"/>
    <w:rsid w:val="00413534"/>
    <w:rsid w:val="004148BF"/>
    <w:rsid w:val="004319BB"/>
    <w:rsid w:val="004436B4"/>
    <w:rsid w:val="004947A1"/>
    <w:rsid w:val="004D6931"/>
    <w:rsid w:val="005247E6"/>
    <w:rsid w:val="00564D65"/>
    <w:rsid w:val="005726CB"/>
    <w:rsid w:val="00593BDE"/>
    <w:rsid w:val="005D5100"/>
    <w:rsid w:val="005E18C7"/>
    <w:rsid w:val="006A559A"/>
    <w:rsid w:val="006D47FE"/>
    <w:rsid w:val="006E3305"/>
    <w:rsid w:val="006E4286"/>
    <w:rsid w:val="008316D3"/>
    <w:rsid w:val="008C7C7B"/>
    <w:rsid w:val="008C7F44"/>
    <w:rsid w:val="008D3FA8"/>
    <w:rsid w:val="008F1D8A"/>
    <w:rsid w:val="008F2D29"/>
    <w:rsid w:val="009024C7"/>
    <w:rsid w:val="009205E2"/>
    <w:rsid w:val="00951DB3"/>
    <w:rsid w:val="00954886"/>
    <w:rsid w:val="00961594"/>
    <w:rsid w:val="00970C67"/>
    <w:rsid w:val="009B648F"/>
    <w:rsid w:val="009E30BC"/>
    <w:rsid w:val="00A72394"/>
    <w:rsid w:val="00A770D2"/>
    <w:rsid w:val="00AA07BD"/>
    <w:rsid w:val="00AD67F9"/>
    <w:rsid w:val="00AF4E36"/>
    <w:rsid w:val="00B318C3"/>
    <w:rsid w:val="00B51218"/>
    <w:rsid w:val="00C361F8"/>
    <w:rsid w:val="00C54DDE"/>
    <w:rsid w:val="00C70504"/>
    <w:rsid w:val="00C86B29"/>
    <w:rsid w:val="00CD2267"/>
    <w:rsid w:val="00CE64C7"/>
    <w:rsid w:val="00D81115"/>
    <w:rsid w:val="00D828A1"/>
    <w:rsid w:val="00DE35BC"/>
    <w:rsid w:val="00DF7432"/>
    <w:rsid w:val="00E738E3"/>
    <w:rsid w:val="00EC2EF0"/>
    <w:rsid w:val="00ED50A1"/>
    <w:rsid w:val="00EE2C07"/>
    <w:rsid w:val="00F832A3"/>
    <w:rsid w:val="00F90382"/>
    <w:rsid w:val="00FC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64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REDAKCYJNE</vt:lpstr>
    </vt:vector>
  </TitlesOfParts>
  <Company>abcd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REDAKCYJNE</dc:title>
  <dc:creator>Dell</dc:creator>
  <cp:lastModifiedBy>Ewa</cp:lastModifiedBy>
  <cp:revision>3</cp:revision>
  <dcterms:created xsi:type="dcterms:W3CDTF">2025-03-10T10:14:00Z</dcterms:created>
  <dcterms:modified xsi:type="dcterms:W3CDTF">2025-03-10T10:16:00Z</dcterms:modified>
</cp:coreProperties>
</file>